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92" w:rsidRDefault="00F75B92" w:rsidP="00F75B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F75B92">
        <w:rPr>
          <w:rFonts w:asciiTheme="majorHAnsi" w:hAnsiTheme="majorHAnsi" w:cstheme="majorHAnsi"/>
          <w:sz w:val="24"/>
          <w:szCs w:val="24"/>
        </w:rPr>
        <w:t>Etiske retningslinjer</w:t>
      </w:r>
      <w:r w:rsidRPr="00F75B92">
        <w:rPr>
          <w:rFonts w:asciiTheme="majorHAnsi" w:hAnsiTheme="majorHAnsi" w:cstheme="majorHAnsi"/>
          <w:sz w:val="24"/>
          <w:szCs w:val="24"/>
        </w:rPr>
        <w:t xml:space="preserve"> - </w:t>
      </w:r>
      <w:hyperlink r:id="rId5" w:history="1">
        <w:r w:rsidRPr="00F75B92">
          <w:rPr>
            <w:rStyle w:val="Hyperlink"/>
            <w:rFonts w:asciiTheme="majorHAnsi" w:hAnsiTheme="majorHAnsi" w:cstheme="majorHAnsi"/>
            <w:sz w:val="24"/>
            <w:szCs w:val="24"/>
          </w:rPr>
          <w:t>https://www.uio.no/om/regelverk/etiske-retningslinjer/#toc3</w:t>
        </w:r>
      </w:hyperlink>
    </w:p>
    <w:p w:rsidR="00F75B92" w:rsidRPr="00F75B92" w:rsidRDefault="00F75B92" w:rsidP="00F75B92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F75B92" w:rsidRPr="00F75B92" w:rsidRDefault="00F75B92" w:rsidP="00F75B92">
      <w:pPr>
        <w:pStyle w:val="ListParagraph"/>
        <w:ind w:left="1080"/>
        <w:rPr>
          <w:rFonts w:asciiTheme="majorHAnsi" w:hAnsiTheme="majorHAnsi" w:cstheme="majorHAnsi"/>
          <w:b/>
          <w:sz w:val="24"/>
          <w:szCs w:val="24"/>
        </w:rPr>
      </w:pPr>
      <w:r w:rsidRPr="00F75B92">
        <w:rPr>
          <w:rFonts w:asciiTheme="majorHAnsi" w:hAnsiTheme="majorHAnsi" w:cstheme="majorHAnsi"/>
          <w:b/>
          <w:sz w:val="24"/>
          <w:szCs w:val="24"/>
        </w:rPr>
        <w:t>Doble relasjoner og habilitet</w:t>
      </w:r>
    </w:p>
    <w:p w:rsidR="00F75B92" w:rsidRPr="00F75B92" w:rsidRDefault="00F75B92" w:rsidP="00F75B92">
      <w:pPr>
        <w:pStyle w:val="ListParagraph"/>
        <w:numPr>
          <w:ilvl w:val="2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F75B92">
        <w:rPr>
          <w:rFonts w:asciiTheme="majorHAnsi" w:hAnsiTheme="majorHAnsi" w:cstheme="majorHAnsi"/>
          <w:sz w:val="24"/>
          <w:szCs w:val="24"/>
        </w:rPr>
        <w:t xml:space="preserve">Med doble relasjoner menes at den ansatte også innehar andre roller enn den profesjonelle i møte med en kollega eller en student. Doble relasjoner kan oppstå som følge av blant annet slektskap, kjærlighetsforhold, vennskap, uvennskap eller økonomiske interesser. </w:t>
      </w:r>
    </w:p>
    <w:p w:rsidR="00F75B92" w:rsidRPr="00F75B92" w:rsidRDefault="00F75B92" w:rsidP="00F75B92">
      <w:pPr>
        <w:pStyle w:val="ListParagraph"/>
        <w:ind w:left="1224"/>
        <w:rPr>
          <w:rFonts w:asciiTheme="majorHAnsi" w:hAnsiTheme="majorHAnsi" w:cstheme="majorHAnsi"/>
          <w:sz w:val="24"/>
          <w:szCs w:val="24"/>
        </w:rPr>
      </w:pPr>
    </w:p>
    <w:p w:rsidR="00F75B92" w:rsidRPr="00F75B92" w:rsidRDefault="00F75B92" w:rsidP="00F75B92">
      <w:pPr>
        <w:pStyle w:val="ListParagraph"/>
        <w:numPr>
          <w:ilvl w:val="2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F75B92">
        <w:rPr>
          <w:rFonts w:asciiTheme="majorHAnsi" w:hAnsiTheme="majorHAnsi" w:cstheme="majorHAnsi"/>
          <w:b/>
          <w:sz w:val="24"/>
          <w:szCs w:val="24"/>
        </w:rPr>
        <w:t>Doble relasjoner kan føre til at det oppstår interessekonflikter og tvil om habilitet, eller påstander om dette</w:t>
      </w:r>
      <w:r w:rsidRPr="00F75B92">
        <w:rPr>
          <w:rFonts w:asciiTheme="majorHAnsi" w:hAnsiTheme="majorHAnsi" w:cstheme="majorHAnsi"/>
          <w:sz w:val="24"/>
          <w:szCs w:val="24"/>
        </w:rPr>
        <w:t xml:space="preserve">. I slike situasjoner kan det stilles spørsmål ved den ansattes uavhengighet og integritet. </w:t>
      </w:r>
    </w:p>
    <w:p w:rsidR="00F75B92" w:rsidRPr="00F75B92" w:rsidRDefault="00F75B92" w:rsidP="00F75B92">
      <w:pPr>
        <w:pStyle w:val="ListParagraph"/>
        <w:ind w:left="1224"/>
        <w:rPr>
          <w:rFonts w:asciiTheme="majorHAnsi" w:hAnsiTheme="majorHAnsi" w:cstheme="majorHAnsi"/>
          <w:sz w:val="24"/>
          <w:szCs w:val="24"/>
        </w:rPr>
      </w:pPr>
    </w:p>
    <w:p w:rsidR="00F75B92" w:rsidRPr="00F75B92" w:rsidRDefault="00F75B92" w:rsidP="00F75B92">
      <w:pPr>
        <w:pStyle w:val="ListParagraph"/>
        <w:numPr>
          <w:ilvl w:val="2"/>
          <w:numId w:val="6"/>
        </w:numPr>
        <w:rPr>
          <w:rFonts w:asciiTheme="majorHAnsi" w:hAnsiTheme="majorHAnsi" w:cstheme="majorHAnsi"/>
          <w:b/>
          <w:sz w:val="24"/>
          <w:szCs w:val="24"/>
        </w:rPr>
      </w:pPr>
      <w:r w:rsidRPr="00F75B92">
        <w:rPr>
          <w:rFonts w:asciiTheme="majorHAnsi" w:hAnsiTheme="majorHAnsi" w:cstheme="majorHAnsi"/>
          <w:sz w:val="24"/>
          <w:szCs w:val="24"/>
        </w:rPr>
        <w:t xml:space="preserve">Den enkelte </w:t>
      </w:r>
      <w:r w:rsidRPr="00F75B92">
        <w:rPr>
          <w:rFonts w:asciiTheme="majorHAnsi" w:hAnsiTheme="majorHAnsi" w:cstheme="majorHAnsi"/>
          <w:b/>
          <w:sz w:val="24"/>
          <w:szCs w:val="24"/>
        </w:rPr>
        <w:t>ansatte har selv ansvar for å vurdere og opplyse om egen inhabilitet</w:t>
      </w:r>
      <w:r w:rsidRPr="00F75B92">
        <w:rPr>
          <w:rFonts w:asciiTheme="majorHAnsi" w:hAnsiTheme="majorHAnsi" w:cstheme="majorHAnsi"/>
          <w:sz w:val="24"/>
          <w:szCs w:val="24"/>
        </w:rPr>
        <w:t>, samt å tre til side når saken krever det</w:t>
      </w:r>
      <w:r w:rsidRPr="00F75B92">
        <w:rPr>
          <w:rFonts w:asciiTheme="majorHAnsi" w:hAnsiTheme="majorHAnsi" w:cstheme="majorHAnsi"/>
          <w:b/>
          <w:sz w:val="24"/>
          <w:szCs w:val="24"/>
        </w:rPr>
        <w:t>. Ved tvil om egen habilitet skal den ansatte informere nærmeste leder.</w:t>
      </w:r>
    </w:p>
    <w:p w:rsidR="00F75B92" w:rsidRPr="00F75B92" w:rsidRDefault="00F75B92" w:rsidP="00F75B92">
      <w:pPr>
        <w:pStyle w:val="ListParagraph"/>
        <w:ind w:left="1224"/>
        <w:rPr>
          <w:rFonts w:asciiTheme="majorHAnsi" w:hAnsiTheme="majorHAnsi" w:cstheme="majorHAnsi"/>
          <w:sz w:val="24"/>
          <w:szCs w:val="24"/>
        </w:rPr>
      </w:pPr>
    </w:p>
    <w:p w:rsidR="00F75B92" w:rsidRPr="00F75B92" w:rsidRDefault="00F75B92" w:rsidP="00F75B92">
      <w:pPr>
        <w:pStyle w:val="ListParagraph"/>
        <w:numPr>
          <w:ilvl w:val="2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F75B92">
        <w:rPr>
          <w:rFonts w:asciiTheme="majorHAnsi" w:hAnsiTheme="majorHAnsi" w:cstheme="majorHAnsi"/>
          <w:sz w:val="24"/>
          <w:szCs w:val="24"/>
        </w:rPr>
        <w:t xml:space="preserve">En leder ved UiO bør ikke ha direkte underordnede som vedkommende er i familie med, har nært slektskap til, har kjærlighetsforhold eller seksuelle relasjoner til.  I slike situasjoner kan det stilles spørsmål ved lederens beslutninger overfor den enkelte. Dersom slike relasjoner oppstår, plikter lederen å ta dette opp med sin overordnede. </w:t>
      </w:r>
    </w:p>
    <w:p w:rsidR="00F75B92" w:rsidRPr="00F75B92" w:rsidRDefault="00F75B92" w:rsidP="00F75B92">
      <w:pPr>
        <w:pStyle w:val="ListParagraph"/>
        <w:ind w:left="1224"/>
        <w:rPr>
          <w:rFonts w:asciiTheme="majorHAnsi" w:hAnsiTheme="majorHAnsi" w:cstheme="majorHAnsi"/>
          <w:sz w:val="24"/>
          <w:szCs w:val="24"/>
        </w:rPr>
      </w:pPr>
    </w:p>
    <w:p w:rsidR="00F75B92" w:rsidRPr="00F75B92" w:rsidRDefault="00F75B92" w:rsidP="00F75B92">
      <w:pPr>
        <w:pStyle w:val="ListParagraph"/>
        <w:numPr>
          <w:ilvl w:val="2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F75B92">
        <w:rPr>
          <w:rFonts w:asciiTheme="majorHAnsi" w:hAnsiTheme="majorHAnsi" w:cstheme="majorHAnsi"/>
          <w:sz w:val="24"/>
          <w:szCs w:val="24"/>
        </w:rPr>
        <w:t xml:space="preserve">En ansatt kan ikke ha doble relasjoner overfor studenter eller </w:t>
      </w:r>
      <w:proofErr w:type="spellStart"/>
      <w:r w:rsidRPr="00F75B92">
        <w:rPr>
          <w:rFonts w:asciiTheme="majorHAnsi" w:hAnsiTheme="majorHAnsi" w:cstheme="majorHAnsi"/>
          <w:sz w:val="24"/>
          <w:szCs w:val="24"/>
        </w:rPr>
        <w:t>ph.d</w:t>
      </w:r>
      <w:proofErr w:type="spellEnd"/>
      <w:r w:rsidRPr="00F75B92">
        <w:rPr>
          <w:rFonts w:asciiTheme="majorHAnsi" w:hAnsiTheme="majorHAnsi" w:cstheme="majorHAnsi"/>
          <w:sz w:val="24"/>
          <w:szCs w:val="24"/>
        </w:rPr>
        <w:t xml:space="preserve">.-kandidater som de sensurerer, veileder eller tar faglige eller administrative avgjørelser overfor. En ansatt plikter å ta doble relasjoner opp med sin overordnede. </w:t>
      </w:r>
    </w:p>
    <w:p w:rsidR="00F75B92" w:rsidRPr="00F75B92" w:rsidRDefault="00F75B92" w:rsidP="00F75B92">
      <w:pPr>
        <w:pStyle w:val="ListParagraph"/>
        <w:ind w:left="1224"/>
        <w:rPr>
          <w:rFonts w:asciiTheme="majorHAnsi" w:hAnsiTheme="majorHAnsi" w:cstheme="majorHAnsi"/>
          <w:sz w:val="24"/>
          <w:szCs w:val="24"/>
        </w:rPr>
      </w:pPr>
    </w:p>
    <w:p w:rsidR="00F75B92" w:rsidRDefault="00F75B92" w:rsidP="00F75B92">
      <w:pPr>
        <w:pStyle w:val="ListParagraph"/>
        <w:numPr>
          <w:ilvl w:val="2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F75B92">
        <w:rPr>
          <w:rFonts w:asciiTheme="majorHAnsi" w:hAnsiTheme="majorHAnsi" w:cstheme="majorHAnsi"/>
          <w:sz w:val="24"/>
          <w:szCs w:val="24"/>
        </w:rPr>
        <w:t xml:space="preserve">Særlig aktsomhet må utvises ved oppnevning av sensor, bedømmelseskomité og </w:t>
      </w:r>
      <w:proofErr w:type="spellStart"/>
      <w:r w:rsidRPr="00F75B92">
        <w:rPr>
          <w:rFonts w:asciiTheme="majorHAnsi" w:hAnsiTheme="majorHAnsi" w:cstheme="majorHAnsi"/>
          <w:sz w:val="24"/>
          <w:szCs w:val="24"/>
        </w:rPr>
        <w:t>innstillingskomité</w:t>
      </w:r>
      <w:proofErr w:type="spellEnd"/>
      <w:r w:rsidRPr="00F75B92">
        <w:rPr>
          <w:rFonts w:asciiTheme="majorHAnsi" w:hAnsiTheme="majorHAnsi" w:cstheme="majorHAnsi"/>
          <w:sz w:val="24"/>
          <w:szCs w:val="24"/>
        </w:rPr>
        <w:t xml:space="preserve"> for tilsetting og opprykk slik at aktuelle kandidater sikres en uavhengig vurdering.</w:t>
      </w:r>
    </w:p>
    <w:p w:rsidR="00142DC0" w:rsidRPr="00142DC0" w:rsidRDefault="00142DC0" w:rsidP="00142DC0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142DC0" w:rsidRPr="00142DC0" w:rsidRDefault="00142DC0" w:rsidP="00142DC0">
      <w:pPr>
        <w:rPr>
          <w:rFonts w:asciiTheme="majorHAnsi" w:hAnsiTheme="majorHAnsi" w:cstheme="majorHAnsi"/>
          <w:sz w:val="24"/>
          <w:szCs w:val="24"/>
        </w:rPr>
      </w:pPr>
      <w:r w:rsidRPr="00142DC0">
        <w:rPr>
          <w:rFonts w:asciiTheme="majorHAnsi" w:hAnsiTheme="majorHAnsi" w:cstheme="majorHAnsi"/>
          <w:sz w:val="24"/>
          <w:szCs w:val="24"/>
        </w:rPr>
        <w:t xml:space="preserve">I tillegg kommer disse punktene: </w:t>
      </w:r>
      <w:r w:rsidRPr="00142DC0">
        <w:rPr>
          <w:rFonts w:asciiTheme="majorHAnsi" w:hAnsiTheme="majorHAnsi" w:cstheme="majorHAnsi"/>
          <w:sz w:val="24"/>
          <w:szCs w:val="24"/>
        </w:rPr>
        <w:t>Retningslinjer for delområder</w:t>
      </w:r>
    </w:p>
    <w:p w:rsidR="00142DC0" w:rsidRPr="00142DC0" w:rsidRDefault="00142DC0" w:rsidP="00142DC0">
      <w:pPr>
        <w:numPr>
          <w:ilvl w:val="0"/>
          <w:numId w:val="7"/>
        </w:numPr>
        <w:spacing w:after="0" w:line="240" w:lineRule="auto"/>
        <w:ind w:left="684"/>
        <w:rPr>
          <w:rFonts w:asciiTheme="majorHAnsi" w:hAnsiTheme="majorHAnsi" w:cstheme="majorHAnsi"/>
          <w:sz w:val="24"/>
          <w:szCs w:val="24"/>
        </w:rPr>
      </w:pPr>
      <w:hyperlink r:id="rId6" w:history="1">
        <w:r w:rsidRPr="00142DC0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</w:rPr>
          <w:t>Etiske retningslinjer for veiledere</w:t>
        </w:r>
      </w:hyperlink>
    </w:p>
    <w:p w:rsidR="00142DC0" w:rsidRPr="00142DC0" w:rsidRDefault="00142DC0" w:rsidP="00142DC0">
      <w:pPr>
        <w:numPr>
          <w:ilvl w:val="0"/>
          <w:numId w:val="7"/>
        </w:numPr>
        <w:spacing w:after="0" w:line="240" w:lineRule="auto"/>
        <w:ind w:left="684"/>
        <w:rPr>
          <w:rFonts w:asciiTheme="majorHAnsi" w:hAnsiTheme="majorHAnsi" w:cstheme="majorHAnsi"/>
          <w:sz w:val="24"/>
          <w:szCs w:val="24"/>
        </w:rPr>
      </w:pPr>
      <w:hyperlink r:id="rId7" w:history="1">
        <w:r w:rsidRPr="00142DC0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</w:rPr>
          <w:t>Forskningsetikk</w:t>
        </w:r>
      </w:hyperlink>
    </w:p>
    <w:p w:rsidR="00142DC0" w:rsidRPr="00142DC0" w:rsidRDefault="00142DC0" w:rsidP="00142DC0">
      <w:pPr>
        <w:numPr>
          <w:ilvl w:val="0"/>
          <w:numId w:val="7"/>
        </w:numPr>
        <w:spacing w:after="0" w:line="240" w:lineRule="auto"/>
        <w:ind w:left="684"/>
        <w:rPr>
          <w:rFonts w:asciiTheme="majorHAnsi" w:hAnsiTheme="majorHAnsi" w:cstheme="majorHAnsi"/>
          <w:sz w:val="24"/>
          <w:szCs w:val="24"/>
        </w:rPr>
      </w:pPr>
      <w:hyperlink r:id="rId8" w:history="1">
        <w:r w:rsidRPr="00142DC0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</w:rPr>
          <w:t>Fusk</w:t>
        </w:r>
      </w:hyperlink>
    </w:p>
    <w:p w:rsidR="00142DC0" w:rsidRPr="00142DC0" w:rsidRDefault="00142DC0" w:rsidP="00142DC0">
      <w:pPr>
        <w:numPr>
          <w:ilvl w:val="0"/>
          <w:numId w:val="7"/>
        </w:numPr>
        <w:spacing w:after="0" w:line="240" w:lineRule="auto"/>
        <w:ind w:left="684"/>
        <w:rPr>
          <w:rFonts w:asciiTheme="majorHAnsi" w:hAnsiTheme="majorHAnsi" w:cstheme="majorHAnsi"/>
          <w:sz w:val="24"/>
          <w:szCs w:val="24"/>
        </w:rPr>
      </w:pPr>
      <w:hyperlink r:id="rId9" w:history="1">
        <w:r w:rsidRPr="00142DC0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</w:rPr>
          <w:t>Kjøp av varer og tjenester</w:t>
        </w:r>
      </w:hyperlink>
    </w:p>
    <w:p w:rsidR="00142DC0" w:rsidRPr="00142DC0" w:rsidRDefault="00142DC0" w:rsidP="00142DC0">
      <w:pPr>
        <w:numPr>
          <w:ilvl w:val="0"/>
          <w:numId w:val="7"/>
        </w:numPr>
        <w:spacing w:after="0" w:line="240" w:lineRule="auto"/>
        <w:ind w:left="684"/>
        <w:rPr>
          <w:rFonts w:asciiTheme="majorHAnsi" w:hAnsiTheme="majorHAnsi" w:cstheme="majorHAnsi"/>
          <w:sz w:val="24"/>
          <w:szCs w:val="24"/>
        </w:rPr>
      </w:pPr>
      <w:hyperlink r:id="rId10" w:history="1">
        <w:r w:rsidRPr="00142DC0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</w:rPr>
          <w:t>Saksbehandling og klage</w:t>
        </w:r>
      </w:hyperlink>
    </w:p>
    <w:p w:rsidR="00142DC0" w:rsidRPr="00142DC0" w:rsidRDefault="00142DC0" w:rsidP="00142DC0">
      <w:pPr>
        <w:numPr>
          <w:ilvl w:val="0"/>
          <w:numId w:val="7"/>
        </w:numPr>
        <w:spacing w:after="0" w:line="240" w:lineRule="auto"/>
        <w:ind w:left="684"/>
        <w:rPr>
          <w:rFonts w:asciiTheme="majorHAnsi" w:hAnsiTheme="majorHAnsi" w:cstheme="majorHAnsi"/>
          <w:sz w:val="24"/>
          <w:szCs w:val="24"/>
        </w:rPr>
      </w:pPr>
      <w:hyperlink r:id="rId11" w:history="1">
        <w:r w:rsidRPr="00142DC0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</w:rPr>
          <w:t>Samarbeidsarrangementer</w:t>
        </w:r>
      </w:hyperlink>
    </w:p>
    <w:p w:rsidR="00142DC0" w:rsidRPr="00142DC0" w:rsidRDefault="00142DC0" w:rsidP="00142DC0">
      <w:pPr>
        <w:numPr>
          <w:ilvl w:val="0"/>
          <w:numId w:val="7"/>
        </w:numPr>
        <w:spacing w:after="0" w:line="240" w:lineRule="auto"/>
        <w:ind w:left="684"/>
        <w:rPr>
          <w:rFonts w:asciiTheme="majorHAnsi" w:hAnsiTheme="majorHAnsi" w:cstheme="majorHAnsi"/>
          <w:sz w:val="24"/>
          <w:szCs w:val="24"/>
        </w:rPr>
      </w:pPr>
      <w:hyperlink r:id="rId12" w:history="1">
        <w:r w:rsidRPr="00142DC0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</w:rPr>
          <w:t>Serviceerklæring</w:t>
        </w:r>
      </w:hyperlink>
    </w:p>
    <w:p w:rsidR="00142DC0" w:rsidRPr="00142DC0" w:rsidRDefault="00142DC0" w:rsidP="00142DC0">
      <w:pPr>
        <w:numPr>
          <w:ilvl w:val="0"/>
          <w:numId w:val="7"/>
        </w:numPr>
        <w:spacing w:after="0" w:line="240" w:lineRule="auto"/>
        <w:ind w:left="684"/>
        <w:rPr>
          <w:rFonts w:asciiTheme="majorHAnsi" w:hAnsiTheme="majorHAnsi" w:cstheme="majorHAnsi"/>
          <w:sz w:val="24"/>
          <w:szCs w:val="24"/>
        </w:rPr>
      </w:pPr>
      <w:hyperlink r:id="rId13" w:anchor="skikkethetsvurdering" w:history="1">
        <w:r w:rsidRPr="00142DC0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</w:rPr>
          <w:t>Skikkethetsvurdering</w:t>
        </w:r>
      </w:hyperlink>
    </w:p>
    <w:p w:rsidR="00142DC0" w:rsidRPr="00142DC0" w:rsidRDefault="00142DC0" w:rsidP="00142DC0">
      <w:pPr>
        <w:numPr>
          <w:ilvl w:val="0"/>
          <w:numId w:val="7"/>
        </w:numPr>
        <w:spacing w:after="0" w:line="240" w:lineRule="auto"/>
        <w:ind w:left="684"/>
        <w:rPr>
          <w:rFonts w:asciiTheme="majorHAnsi" w:hAnsiTheme="majorHAnsi" w:cstheme="majorHAnsi"/>
          <w:sz w:val="24"/>
          <w:szCs w:val="24"/>
        </w:rPr>
      </w:pPr>
      <w:hyperlink r:id="rId14" w:history="1">
        <w:r w:rsidRPr="00142DC0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</w:rPr>
          <w:t>Trakassering</w:t>
        </w:r>
      </w:hyperlink>
    </w:p>
    <w:sectPr w:rsidR="00142DC0" w:rsidRPr="0014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B1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D66A55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033746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4C9666E"/>
    <w:multiLevelType w:val="multilevel"/>
    <w:tmpl w:val="BC5C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737ED"/>
    <w:multiLevelType w:val="hybridMultilevel"/>
    <w:tmpl w:val="63261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5CEC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D955F8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92"/>
    <w:rsid w:val="00142DC0"/>
    <w:rsid w:val="00316A88"/>
    <w:rsid w:val="003971F0"/>
    <w:rsid w:val="004F1AFB"/>
    <w:rsid w:val="00EE47FD"/>
    <w:rsid w:val="00F7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049A"/>
  <w15:chartTrackingRefBased/>
  <w15:docId w15:val="{130715DD-1837-41A7-8ABA-3EB931FD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2DC0"/>
    <w:pPr>
      <w:spacing w:before="375" w:after="150" w:line="510" w:lineRule="atLeast"/>
      <w:outlineLvl w:val="1"/>
    </w:pPr>
    <w:rPr>
      <w:rFonts w:ascii="Times New Roman" w:eastAsia="Times New Roman" w:hAnsi="Times New Roman" w:cs="Times New Roman"/>
      <w:color w:val="222222"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B9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2DC0"/>
    <w:rPr>
      <w:rFonts w:ascii="Times New Roman" w:eastAsia="Times New Roman" w:hAnsi="Times New Roman" w:cs="Times New Roman"/>
      <w:color w:val="222222"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20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2341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65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7714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studier/eksamen/fusk/" TargetMode="External"/><Relationship Id="rId13" Type="http://schemas.openxmlformats.org/officeDocument/2006/relationships/hyperlink" Target="http://www.uio.no/om/regelverk/studier/oversikt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o.no/om/regelverk/etiske-retningslinjer/forskningsetikk.html" TargetMode="External"/><Relationship Id="rId12" Type="http://schemas.openxmlformats.org/officeDocument/2006/relationships/hyperlink" Target="https://www.uio.no/om/regelverk/studier/serviceerkleri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io.no/om/regelverk/etiske-retningslinjer/etiske-retningslinjer-veiledere.html" TargetMode="External"/><Relationship Id="rId11" Type="http://schemas.openxmlformats.org/officeDocument/2006/relationships/hyperlink" Target="http://www.uio.no/om/regelverk/etiske-retningslinjer/samarbeidsarrangementer.html" TargetMode="External"/><Relationship Id="rId5" Type="http://schemas.openxmlformats.org/officeDocument/2006/relationships/hyperlink" Target="https://www.uio.no/om/regelverk/etiske-retningslinjer/#toc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io.no/om/regelverk/studier/saksbehandl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o.no/for-ansatte/arbeidsstotte/innkjop/innkjop/regler/etiske-retningslinjer/index.html" TargetMode="External"/><Relationship Id="rId14" Type="http://schemas.openxmlformats.org/officeDocument/2006/relationships/hyperlink" Target="https://www.uio.no/om/regelverk/etiske-retningslinjer/trakasser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422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Dana Hansen Nesteby</dc:creator>
  <cp:keywords/>
  <dc:description/>
  <cp:lastModifiedBy>Maria Dana Hansen Nesteby</cp:lastModifiedBy>
  <cp:revision>3</cp:revision>
  <dcterms:created xsi:type="dcterms:W3CDTF">2019-10-17T06:49:00Z</dcterms:created>
  <dcterms:modified xsi:type="dcterms:W3CDTF">2019-10-17T07:03:00Z</dcterms:modified>
</cp:coreProperties>
</file>